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E3" w:rsidRPr="00DB6AE2" w:rsidRDefault="00DB6AE2" w:rsidP="004A6D2D">
      <w:pPr>
        <w:jc w:val="center"/>
        <w:rPr>
          <w:rFonts w:ascii="Tw Cen MT" w:hAnsi="Tw Cen MT" w:cs="Arial"/>
          <w:b/>
          <w:sz w:val="22"/>
          <w:szCs w:val="22"/>
        </w:rPr>
      </w:pPr>
      <w:r w:rsidRPr="00DB6AE2">
        <w:rPr>
          <w:rFonts w:ascii="Tw Cen MT" w:hAnsi="Tw Cen MT" w:cs="Arial"/>
          <w:b/>
          <w:sz w:val="22"/>
          <w:szCs w:val="22"/>
        </w:rPr>
        <w:t>Caffè letterario Architettu</w:t>
      </w:r>
      <w:r w:rsidR="00DB383C">
        <w:rPr>
          <w:rFonts w:ascii="Tw Cen MT" w:hAnsi="Tw Cen MT" w:cs="Arial"/>
          <w:b/>
          <w:sz w:val="22"/>
          <w:szCs w:val="22"/>
        </w:rPr>
        <w:t>ra</w:t>
      </w:r>
    </w:p>
    <w:p w:rsidR="00DB383C" w:rsidRDefault="00DB383C" w:rsidP="00DB6AE2">
      <w:pPr>
        <w:rPr>
          <w:rFonts w:ascii="Tw Cen MT" w:hAnsi="Tw Cen MT" w:cs="Arial"/>
          <w:b/>
          <w:sz w:val="22"/>
          <w:szCs w:val="22"/>
        </w:rPr>
      </w:pPr>
    </w:p>
    <w:p w:rsidR="00DB6AE2" w:rsidRDefault="00DB383C" w:rsidP="004A6D2D">
      <w:pPr>
        <w:jc w:val="center"/>
        <w:rPr>
          <w:rFonts w:ascii="Tw Cen MT" w:hAnsi="Tw Cen MT" w:cs="Arial"/>
          <w:b/>
          <w:sz w:val="22"/>
          <w:szCs w:val="22"/>
        </w:rPr>
      </w:pPr>
      <w:r>
        <w:rPr>
          <w:noProof/>
        </w:rPr>
        <w:drawing>
          <wp:inline distT="0" distB="0" distL="0" distR="0">
            <wp:extent cx="2447925" cy="1781175"/>
            <wp:effectExtent l="0" t="0" r="0" b="0"/>
            <wp:docPr id="1" name="Immagine 3" descr="C:\Documents and Settings\Utente\Desktop\ICARO\logo  ICARO.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tente\Desktop\ICARO\logo  ICARO.jpg.gif"/>
                    <pic:cNvPicPr>
                      <a:picLocks noChangeAspect="1" noChangeArrowheads="1"/>
                    </pic:cNvPicPr>
                  </pic:nvPicPr>
                  <pic:blipFill>
                    <a:blip r:embed="rId6"/>
                    <a:srcRect/>
                    <a:stretch>
                      <a:fillRect/>
                    </a:stretch>
                  </pic:blipFill>
                  <pic:spPr bwMode="auto">
                    <a:xfrm>
                      <a:off x="0" y="0"/>
                      <a:ext cx="2447925" cy="1781175"/>
                    </a:xfrm>
                    <a:prstGeom prst="rect">
                      <a:avLst/>
                    </a:prstGeom>
                    <a:noFill/>
                    <a:ln w="9525">
                      <a:noFill/>
                      <a:miter lim="800000"/>
                      <a:headEnd/>
                      <a:tailEnd/>
                    </a:ln>
                  </pic:spPr>
                </pic:pic>
              </a:graphicData>
            </a:graphic>
          </wp:inline>
        </w:drawing>
      </w:r>
    </w:p>
    <w:p w:rsidR="00DB383C" w:rsidRDefault="00DB383C" w:rsidP="00DB6AE2">
      <w:pPr>
        <w:rPr>
          <w:rFonts w:ascii="Tw Cen MT" w:hAnsi="Tw Cen MT" w:cs="Arial"/>
          <w:b/>
          <w:sz w:val="22"/>
          <w:szCs w:val="22"/>
        </w:rPr>
      </w:pPr>
      <w:r>
        <w:rPr>
          <w:rFonts w:ascii="Tw Cen MT" w:hAnsi="Tw Cen MT" w:cs="Arial"/>
          <w:b/>
          <w:sz w:val="22"/>
          <w:szCs w:val="22"/>
        </w:rPr>
        <w:t>Presentazione dell’iniziativa</w:t>
      </w:r>
    </w:p>
    <w:p w:rsidR="00DB383C" w:rsidRPr="00DB6AE2" w:rsidRDefault="00DB383C" w:rsidP="00DB6AE2">
      <w:pPr>
        <w:rPr>
          <w:rFonts w:ascii="Tw Cen MT" w:hAnsi="Tw Cen MT" w:cs="Arial"/>
          <w:b/>
          <w:sz w:val="22"/>
          <w:szCs w:val="22"/>
        </w:rPr>
      </w:pPr>
    </w:p>
    <w:p w:rsidR="00F826E3" w:rsidRPr="00354FC4" w:rsidRDefault="00F826E3" w:rsidP="00F826E3">
      <w:pPr>
        <w:jc w:val="both"/>
        <w:rPr>
          <w:rFonts w:ascii="Tw Cen MT" w:hAnsi="Tw Cen MT" w:cs="Arial"/>
          <w:sz w:val="22"/>
          <w:szCs w:val="22"/>
          <w:u w:val="single"/>
        </w:rPr>
      </w:pPr>
      <w:r w:rsidRPr="00354FC4">
        <w:rPr>
          <w:rFonts w:ascii="Tw Cen MT" w:hAnsi="Tw Cen MT" w:cs="Arial"/>
          <w:sz w:val="22"/>
          <w:szCs w:val="22"/>
          <w:u w:val="single"/>
        </w:rPr>
        <w:t>L’idea di questo gruppo di lavoro nasce dall’intenzione di creare iniziative che possano essere da stimolo per la nostra componente studentesca,</w:t>
      </w:r>
      <w:r w:rsidRPr="00DB6AE2">
        <w:rPr>
          <w:rFonts w:ascii="Tw Cen MT" w:hAnsi="Tw Cen MT" w:cs="Arial"/>
          <w:sz w:val="22"/>
          <w:szCs w:val="22"/>
        </w:rPr>
        <w:t xml:space="preserve"> nel tentativo di renderla partecipe dei molteplici cambiamenti verificatisi all’interno della nostra facoltà e nella cittadella universitaria secondo le rinnovate esigenze dei cittadini, </w:t>
      </w:r>
      <w:r w:rsidRPr="00354FC4">
        <w:rPr>
          <w:rFonts w:ascii="Tw Cen MT" w:hAnsi="Tw Cen MT" w:cs="Arial"/>
          <w:sz w:val="22"/>
          <w:szCs w:val="22"/>
          <w:u w:val="single"/>
        </w:rPr>
        <w:t>e al contempo integrare la nuova generazione di studenti alla precedente, non solo per quanto concerne le attività didattiche, ma nel tentativo di far vivere la nostra facoltà creando un punto di incontro alla conclusione delle lezioni, discutendo argomenti di attualità che ben si legano con i nostri percorsi di studi.</w:t>
      </w:r>
      <w:r w:rsidRPr="00DB6AE2">
        <w:rPr>
          <w:rFonts w:ascii="Tw Cen MT" w:hAnsi="Tw Cen MT" w:cs="Arial"/>
          <w:sz w:val="22"/>
          <w:szCs w:val="22"/>
        </w:rPr>
        <w:t xml:space="preserve"> E’ necessario ridefinire il modo di pensare l’architettura, che deve soddisfare proprio questi bisogni, attraverso l’utilizzo di nuovi mezzi e nuove tecnologie, e questo sarà il nostro obiettivo, </w:t>
      </w:r>
      <w:r w:rsidRPr="00354FC4">
        <w:rPr>
          <w:rFonts w:ascii="Tw Cen MT" w:hAnsi="Tw Cen MT" w:cs="Arial"/>
          <w:sz w:val="22"/>
          <w:szCs w:val="22"/>
          <w:u w:val="single"/>
        </w:rPr>
        <w:t>grazie all’ausilio di docenti strutturati della facoltà competenti sugli argomenti trattati.</w:t>
      </w:r>
    </w:p>
    <w:p w:rsidR="00F826E3" w:rsidRPr="00DB6AE2" w:rsidRDefault="00F826E3" w:rsidP="00F826E3">
      <w:pPr>
        <w:jc w:val="both"/>
        <w:rPr>
          <w:rFonts w:ascii="Tw Cen MT" w:hAnsi="Tw Cen MT" w:cs="Arial"/>
          <w:sz w:val="22"/>
          <w:szCs w:val="22"/>
        </w:rPr>
      </w:pPr>
    </w:p>
    <w:p w:rsidR="00F826E3" w:rsidRPr="00DB6AE2" w:rsidRDefault="00F826E3" w:rsidP="00F826E3">
      <w:pPr>
        <w:jc w:val="both"/>
        <w:rPr>
          <w:rFonts w:ascii="Tw Cen MT" w:hAnsi="Tw Cen MT" w:cs="Arial"/>
          <w:sz w:val="22"/>
          <w:szCs w:val="22"/>
        </w:rPr>
      </w:pPr>
    </w:p>
    <w:p w:rsidR="00F826E3" w:rsidRDefault="00F826E3" w:rsidP="00F826E3">
      <w:pPr>
        <w:jc w:val="both"/>
        <w:rPr>
          <w:rFonts w:ascii="Tw Cen MT" w:hAnsi="Tw Cen MT" w:cs="Arial"/>
          <w:b/>
          <w:sz w:val="22"/>
          <w:szCs w:val="22"/>
        </w:rPr>
      </w:pPr>
      <w:r w:rsidRPr="00DB6AE2">
        <w:rPr>
          <w:rFonts w:ascii="Tw Cen MT" w:hAnsi="Tw Cen MT" w:cs="Arial"/>
          <w:b/>
          <w:sz w:val="22"/>
          <w:szCs w:val="22"/>
        </w:rPr>
        <w:t>Programma dell’iniziativa</w:t>
      </w:r>
    </w:p>
    <w:p w:rsidR="009D588F" w:rsidRPr="00DB6AE2" w:rsidRDefault="009D588F" w:rsidP="00F826E3">
      <w:pPr>
        <w:jc w:val="both"/>
        <w:rPr>
          <w:rFonts w:ascii="Tw Cen MT" w:hAnsi="Tw Cen MT" w:cs="Arial"/>
          <w:b/>
          <w:sz w:val="22"/>
          <w:szCs w:val="22"/>
        </w:rPr>
      </w:pPr>
    </w:p>
    <w:p w:rsidR="00F826E3" w:rsidRPr="00DB6AE2" w:rsidRDefault="00F826E3" w:rsidP="00F826E3">
      <w:pPr>
        <w:jc w:val="both"/>
        <w:rPr>
          <w:rFonts w:ascii="Tw Cen MT" w:hAnsi="Tw Cen MT" w:cs="Arial"/>
          <w:sz w:val="22"/>
          <w:szCs w:val="22"/>
        </w:rPr>
      </w:pPr>
      <w:r w:rsidRPr="00DB6AE2">
        <w:rPr>
          <w:rFonts w:ascii="Tw Cen MT" w:hAnsi="Tw Cen MT" w:cs="Arial"/>
          <w:sz w:val="22"/>
          <w:szCs w:val="22"/>
        </w:rPr>
        <w:t xml:space="preserve">Per le motivazioni sopra citate, </w:t>
      </w:r>
      <w:r w:rsidRPr="00354FC4">
        <w:rPr>
          <w:rFonts w:ascii="Tw Cen MT" w:hAnsi="Tw Cen MT" w:cs="Arial"/>
          <w:sz w:val="22"/>
          <w:szCs w:val="22"/>
          <w:u w:val="single"/>
        </w:rPr>
        <w:t>l’idea che ha accompagnato la nostra proposta è quella di organizzare quattro o più seminari</w:t>
      </w:r>
      <w:r w:rsidRPr="00DB6AE2">
        <w:rPr>
          <w:rFonts w:ascii="Tw Cen MT" w:hAnsi="Tw Cen MT" w:cs="Arial"/>
          <w:sz w:val="22"/>
          <w:szCs w:val="22"/>
        </w:rPr>
        <w:t xml:space="preserve"> accompagnati da aperitivi nel tardo pomeriggio, all’interno della caffetteria della nostra facoltà. </w:t>
      </w:r>
      <w:r w:rsidRPr="00354FC4">
        <w:rPr>
          <w:rFonts w:ascii="Tw Cen MT" w:hAnsi="Tw Cen MT" w:cs="Arial"/>
          <w:sz w:val="22"/>
          <w:szCs w:val="22"/>
          <w:u w:val="single"/>
        </w:rPr>
        <w:t>L’orario di inizio di ogni seminario è ipotizzato alle 18:30, in modo da permettere sia alla componente docenti che alla componente studentesca di poter intervenire fattivamente ed esprimere le proprie opinioni, e eventualmente fugare ogni dubbio sugli argomenti trattati</w:t>
      </w:r>
      <w:r w:rsidRPr="00DB6AE2">
        <w:rPr>
          <w:rFonts w:ascii="Tw Cen MT" w:hAnsi="Tw Cen MT" w:cs="Arial"/>
          <w:sz w:val="22"/>
          <w:szCs w:val="22"/>
        </w:rPr>
        <w:t xml:space="preserve">. </w:t>
      </w:r>
      <w:r w:rsidRPr="00354FC4">
        <w:rPr>
          <w:rFonts w:ascii="Tw Cen MT" w:hAnsi="Tw Cen MT" w:cs="Arial"/>
          <w:sz w:val="22"/>
          <w:szCs w:val="22"/>
          <w:u w:val="single"/>
        </w:rPr>
        <w:t>Ogni seminario</w:t>
      </w:r>
      <w:r w:rsidRPr="00DB6AE2">
        <w:rPr>
          <w:rFonts w:ascii="Tw Cen MT" w:hAnsi="Tw Cen MT" w:cs="Arial"/>
          <w:sz w:val="22"/>
          <w:szCs w:val="22"/>
        </w:rPr>
        <w:t xml:space="preserve"> avrà un’introduzione effettuata da uno dei componenti del nostro gruppo, cui </w:t>
      </w:r>
      <w:r w:rsidRPr="00354FC4">
        <w:rPr>
          <w:rFonts w:ascii="Tw Cen MT" w:hAnsi="Tw Cen MT" w:cs="Arial"/>
          <w:sz w:val="22"/>
          <w:szCs w:val="22"/>
          <w:u w:val="single"/>
        </w:rPr>
        <w:t>seguirà una proiezione della documentazione prodotta per ogni argomento, relazionata dal docente chiamato a intervenire</w:t>
      </w:r>
      <w:r w:rsidRPr="00DB6AE2">
        <w:rPr>
          <w:rFonts w:ascii="Tw Cen MT" w:hAnsi="Tw Cen MT" w:cs="Arial"/>
          <w:sz w:val="22"/>
          <w:szCs w:val="22"/>
        </w:rPr>
        <w:t xml:space="preserve">. </w:t>
      </w:r>
      <w:r w:rsidRPr="00354FC4">
        <w:rPr>
          <w:rFonts w:ascii="Tw Cen MT" w:hAnsi="Tw Cen MT" w:cs="Arial"/>
          <w:sz w:val="22"/>
          <w:szCs w:val="22"/>
          <w:u w:val="single"/>
        </w:rPr>
        <w:t>A conclusione della relazione, si darà vita a un dibattito sugli argomenti trattati, con l’obiettivo di far coesistere gli interventi dei docenti e degli studenti, in modo tale da sviscerare più possibile le problematiche presentate</w:t>
      </w:r>
      <w:r w:rsidRPr="00DB6AE2">
        <w:rPr>
          <w:rFonts w:ascii="Tw Cen MT" w:hAnsi="Tw Cen MT" w:cs="Arial"/>
          <w:sz w:val="22"/>
          <w:szCs w:val="22"/>
        </w:rPr>
        <w:t xml:space="preserve">. Ci sembra un modo innovativo per legare </w:t>
      </w:r>
      <w:r w:rsidRPr="00354FC4">
        <w:rPr>
          <w:rFonts w:ascii="Tw Cen MT" w:hAnsi="Tw Cen MT" w:cs="Arial"/>
          <w:sz w:val="22"/>
          <w:szCs w:val="22"/>
          <w:u w:val="single"/>
        </w:rPr>
        <w:t>gli obiettivi che ci siamo posti</w:t>
      </w:r>
      <w:r w:rsidRPr="00DB6AE2">
        <w:rPr>
          <w:rFonts w:ascii="Tw Cen MT" w:hAnsi="Tw Cen MT" w:cs="Arial"/>
          <w:sz w:val="22"/>
          <w:szCs w:val="22"/>
        </w:rPr>
        <w:t xml:space="preserve"> nel creare questo gruppo di lavoro, e quindi ampliare le conoscenze specifiche degli studenti, </w:t>
      </w:r>
      <w:r w:rsidRPr="00354FC4">
        <w:rPr>
          <w:rFonts w:ascii="Tw Cen MT" w:hAnsi="Tw Cen MT" w:cs="Arial"/>
          <w:sz w:val="22"/>
          <w:szCs w:val="22"/>
          <w:u w:val="single"/>
        </w:rPr>
        <w:t>in un contesto diverso da quello della classica lezione in aula, dando altresì la possibilità di approfondire la conoscenza sui nuovi sviluppi tecnologici di cui l’architettura si fa portatrice.</w:t>
      </w:r>
      <w:r w:rsidRPr="00DB6AE2">
        <w:rPr>
          <w:rFonts w:ascii="Tw Cen MT" w:hAnsi="Tw Cen MT" w:cs="Arial"/>
          <w:sz w:val="22"/>
          <w:szCs w:val="22"/>
        </w:rPr>
        <w:t xml:space="preserve"> Gli</w:t>
      </w:r>
      <w:r w:rsidR="009D588F">
        <w:rPr>
          <w:rFonts w:ascii="Tw Cen MT" w:hAnsi="Tw Cen MT" w:cs="Arial"/>
          <w:sz w:val="22"/>
          <w:szCs w:val="22"/>
        </w:rPr>
        <w:t xml:space="preserve"> argomenti che, per queste</w:t>
      </w:r>
      <w:r w:rsidRPr="00DB6AE2">
        <w:rPr>
          <w:rFonts w:ascii="Tw Cen MT" w:hAnsi="Tw Cen MT" w:cs="Arial"/>
          <w:sz w:val="22"/>
          <w:szCs w:val="22"/>
        </w:rPr>
        <w:t xml:space="preserve"> quattro iniziative, si è ipotizzato di trattare sono:</w:t>
      </w:r>
    </w:p>
    <w:p w:rsidR="00F826E3" w:rsidRPr="00DB6AE2" w:rsidRDefault="00F826E3" w:rsidP="00F826E3">
      <w:pPr>
        <w:jc w:val="both"/>
        <w:rPr>
          <w:rFonts w:ascii="Tw Cen MT" w:hAnsi="Tw Cen MT" w:cs="Arial"/>
          <w:sz w:val="22"/>
          <w:szCs w:val="22"/>
        </w:rPr>
      </w:pPr>
    </w:p>
    <w:p w:rsidR="00F826E3" w:rsidRPr="00DB6AE2" w:rsidRDefault="00F826E3" w:rsidP="00F826E3">
      <w:pPr>
        <w:numPr>
          <w:ilvl w:val="0"/>
          <w:numId w:val="1"/>
        </w:numPr>
        <w:jc w:val="both"/>
        <w:rPr>
          <w:rFonts w:ascii="Tw Cen MT" w:hAnsi="Tw Cen MT" w:cs="Arial"/>
          <w:sz w:val="22"/>
          <w:szCs w:val="22"/>
        </w:rPr>
      </w:pPr>
      <w:r w:rsidRPr="00DB6AE2">
        <w:rPr>
          <w:rFonts w:ascii="Tw Cen MT" w:hAnsi="Tw Cen MT" w:cs="Arial"/>
          <w:b/>
          <w:sz w:val="22"/>
          <w:szCs w:val="22"/>
        </w:rPr>
        <w:t>Le Energie Rinnovabili e la Mediterranea</w:t>
      </w:r>
      <w:r w:rsidRPr="00DB6AE2">
        <w:rPr>
          <w:rFonts w:ascii="Tw Cen MT" w:hAnsi="Tw Cen MT" w:cs="Arial"/>
          <w:sz w:val="22"/>
          <w:szCs w:val="22"/>
        </w:rPr>
        <w:t xml:space="preserve">: l’attuale congiuntura economica e le opportunità offerte dall’economia </w:t>
      </w:r>
      <w:r w:rsidRPr="00DB6AE2">
        <w:rPr>
          <w:rFonts w:ascii="Tw Cen MT" w:hAnsi="Tw Cen MT" w:cs="Arial"/>
          <w:i/>
          <w:sz w:val="22"/>
          <w:szCs w:val="22"/>
        </w:rPr>
        <w:t>energeticamente</w:t>
      </w:r>
      <w:r w:rsidRPr="00DB6AE2">
        <w:rPr>
          <w:rFonts w:ascii="Tw Cen MT" w:hAnsi="Tw Cen MT" w:cs="Arial"/>
          <w:sz w:val="22"/>
          <w:szCs w:val="22"/>
        </w:rPr>
        <w:t xml:space="preserve"> sostenibile. Comportamenti e Tecnologie per una nuova dimensione ambientale ed energetica; l’analisi del Bando  per la realizzazione del Parco Fotovoltaico della Cittadella Universitaria;</w:t>
      </w:r>
    </w:p>
    <w:p w:rsidR="00F826E3" w:rsidRPr="00DB6AE2" w:rsidRDefault="00F826E3" w:rsidP="00F826E3">
      <w:pPr>
        <w:numPr>
          <w:ilvl w:val="0"/>
          <w:numId w:val="1"/>
        </w:numPr>
        <w:jc w:val="both"/>
        <w:rPr>
          <w:rFonts w:ascii="Tw Cen MT" w:hAnsi="Tw Cen MT" w:cs="Arial"/>
          <w:sz w:val="22"/>
          <w:szCs w:val="22"/>
        </w:rPr>
      </w:pPr>
      <w:r w:rsidRPr="00DB6AE2">
        <w:rPr>
          <w:rFonts w:ascii="Tw Cen MT" w:hAnsi="Tw Cen MT" w:cs="Arial"/>
          <w:b/>
          <w:sz w:val="22"/>
          <w:szCs w:val="22"/>
        </w:rPr>
        <w:t>Abbattimento delle barriere architettoniche</w:t>
      </w:r>
      <w:r w:rsidRPr="00DB6AE2">
        <w:rPr>
          <w:rFonts w:ascii="Tw Cen MT" w:hAnsi="Tw Cen MT" w:cs="Arial"/>
          <w:sz w:val="22"/>
          <w:szCs w:val="22"/>
        </w:rPr>
        <w:t>: analisi delle barriere architettoniche presenti all’interno della cittadella universitaria e nei dintorni e ipotesi di abbattimento delle stesse;</w:t>
      </w:r>
    </w:p>
    <w:p w:rsidR="00F826E3" w:rsidRPr="00DB6AE2" w:rsidRDefault="00F826E3" w:rsidP="00F826E3">
      <w:pPr>
        <w:numPr>
          <w:ilvl w:val="0"/>
          <w:numId w:val="1"/>
        </w:numPr>
        <w:jc w:val="both"/>
        <w:rPr>
          <w:rFonts w:ascii="Tw Cen MT" w:hAnsi="Tw Cen MT" w:cs="Arial"/>
          <w:sz w:val="22"/>
          <w:szCs w:val="22"/>
        </w:rPr>
      </w:pPr>
      <w:r w:rsidRPr="00DB6AE2">
        <w:rPr>
          <w:rFonts w:ascii="Tw Cen MT" w:hAnsi="Tw Cen MT" w:cs="Arial"/>
          <w:b/>
          <w:sz w:val="22"/>
          <w:szCs w:val="22"/>
        </w:rPr>
        <w:t>Comunicazione</w:t>
      </w:r>
      <w:r w:rsidR="009D588F">
        <w:rPr>
          <w:rFonts w:ascii="Tw Cen MT" w:hAnsi="Tw Cen MT" w:cs="Arial"/>
          <w:b/>
          <w:sz w:val="22"/>
          <w:szCs w:val="22"/>
        </w:rPr>
        <w:t xml:space="preserve"> grafica</w:t>
      </w:r>
      <w:r w:rsidRPr="00DB6AE2">
        <w:rPr>
          <w:rFonts w:ascii="Tw Cen MT" w:hAnsi="Tw Cen MT" w:cs="Arial"/>
          <w:sz w:val="22"/>
          <w:szCs w:val="22"/>
        </w:rPr>
        <w:t>: un nuovo modo di approcciarsi al prossimo, una nuova definizione di rapporto docente – studente, inteso non soltanto come dialogo tra le parti, ma anche e soprattutto come materializzazione dell’argomento discusso in chiave grafica;</w:t>
      </w:r>
    </w:p>
    <w:p w:rsidR="00F826E3" w:rsidRPr="00DB6AE2" w:rsidRDefault="00F826E3" w:rsidP="00F826E3">
      <w:pPr>
        <w:numPr>
          <w:ilvl w:val="0"/>
          <w:numId w:val="1"/>
        </w:numPr>
        <w:jc w:val="both"/>
        <w:rPr>
          <w:rFonts w:ascii="Tw Cen MT" w:hAnsi="Tw Cen MT" w:cs="Arial"/>
          <w:sz w:val="22"/>
          <w:szCs w:val="22"/>
        </w:rPr>
      </w:pPr>
      <w:r w:rsidRPr="00DB6AE2">
        <w:rPr>
          <w:rFonts w:ascii="Tw Cen MT" w:hAnsi="Tw Cen MT" w:cs="Arial"/>
          <w:b/>
          <w:sz w:val="22"/>
          <w:szCs w:val="22"/>
        </w:rPr>
        <w:t>Presentazione della progettazione della nuova Casa dello Studente</w:t>
      </w:r>
      <w:r w:rsidRPr="00DB6AE2">
        <w:rPr>
          <w:rFonts w:ascii="Tw Cen MT" w:hAnsi="Tw Cen MT" w:cs="Arial"/>
          <w:sz w:val="22"/>
          <w:szCs w:val="22"/>
        </w:rPr>
        <w:t>: riqualificazione dell’area oggetto di intervento e conclusione dei lavori precedentemente iniziati, esposizione dell’opera.</w:t>
      </w:r>
    </w:p>
    <w:p w:rsidR="00F826E3" w:rsidRPr="00DB6AE2" w:rsidRDefault="00F826E3" w:rsidP="00F826E3">
      <w:pPr>
        <w:jc w:val="both"/>
        <w:rPr>
          <w:rFonts w:ascii="Tw Cen MT" w:hAnsi="Tw Cen MT" w:cs="Arial"/>
          <w:b/>
          <w:sz w:val="22"/>
          <w:szCs w:val="22"/>
        </w:rPr>
      </w:pPr>
    </w:p>
    <w:p w:rsidR="00806218" w:rsidRPr="00DB383C" w:rsidRDefault="00F826E3" w:rsidP="00DB383C">
      <w:pPr>
        <w:jc w:val="both"/>
        <w:rPr>
          <w:rFonts w:ascii="Tw Cen MT" w:hAnsi="Tw Cen MT" w:cs="Arial"/>
          <w:sz w:val="22"/>
          <w:szCs w:val="22"/>
        </w:rPr>
      </w:pPr>
      <w:r w:rsidRPr="00DB6AE2">
        <w:rPr>
          <w:rFonts w:ascii="Tw Cen MT" w:hAnsi="Tw Cen MT" w:cs="Arial"/>
          <w:sz w:val="22"/>
          <w:szCs w:val="22"/>
        </w:rPr>
        <w:t xml:space="preserve">Il nostro fine primario è quello di concretizzare questo progetto e che esso possa essere il principio di una nuova concezione della vita universitaria, rendendo questi incontri un appuntamento fisso nella settimana tipo di ogni studente. </w:t>
      </w:r>
      <w:r w:rsidR="00DB6AE2">
        <w:t xml:space="preserve">                                </w:t>
      </w:r>
      <w:r w:rsidR="00CF74C6">
        <w:t xml:space="preserve">                       </w:t>
      </w:r>
    </w:p>
    <w:sectPr w:rsidR="00806218" w:rsidRPr="00DB383C" w:rsidSect="0080621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06D09"/>
    <w:multiLevelType w:val="hybridMultilevel"/>
    <w:tmpl w:val="9BF44868"/>
    <w:lvl w:ilvl="0" w:tplc="15A81D70">
      <w:start w:val="1"/>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826E3"/>
    <w:rsid w:val="00004C73"/>
    <w:rsid w:val="00354FC4"/>
    <w:rsid w:val="003D47D1"/>
    <w:rsid w:val="004A6D2D"/>
    <w:rsid w:val="00515474"/>
    <w:rsid w:val="006C2487"/>
    <w:rsid w:val="00806218"/>
    <w:rsid w:val="008779D2"/>
    <w:rsid w:val="009D588F"/>
    <w:rsid w:val="00BA2FDF"/>
    <w:rsid w:val="00CF74C6"/>
    <w:rsid w:val="00DB383C"/>
    <w:rsid w:val="00DB6AE2"/>
    <w:rsid w:val="00F02885"/>
    <w:rsid w:val="00F826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6E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B6A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6AE2"/>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E4C6A-2F69-4C2C-A0FA-21D9AE42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549</Words>
  <Characters>3131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2009-04-24T22:00:00Z</dcterms:created>
  <dcterms:modified xsi:type="dcterms:W3CDTF">2009-04-29T21:48:00Z</dcterms:modified>
</cp:coreProperties>
</file>